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Dieses Gesetz tritt mit dem auf die Verkündung folgenden Tage in Kraft.</w:t>
      </w:r>
    </w:p>
    <w:p>
      <w:r>
        <w:t xml:space="preserve">(2)</w:t>
      </w:r>
    </w:p>
    <w:p>
      <w:r>
        <w:t xml:space="preserve">(3) Mit der Ausführung dieses Gesetzes wird der Reichswirtschaftsminister beauftragt.</w:t>
      </w:r>
    </w:p>
    <w:p>
      <w:r>
        <w:rPr>
          <w:color w:val="555555"/>
          <w:sz w:val="17"/>
        </w:rPr>
        <w:t xml:space="preserve">Zitiervorschlag: § 11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