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 Abs. 1 Satz 1 das Betreten eines Grundstücks oder die Vornahme von Untersuchungsarbeiten oder entgegen § 5 Abs. 1 den Zutritt zu einer Bohrung oder einem sonstigen Aufschluß nicht gestattet,</w:t>
      </w:r>
    </w:p>
    <w:p>
      <w:pPr>
        <w:ind w:left="420"/>
      </w:pPr>
      <w:r>
        <w:t xml:space="preserve">2. einer Anzeige-, Mitteilungs- oder Auskunftspflicht nach den §§ 3, 4, 5 Abs. 2 Satz 1 oder § 6 Abs. 5 zuwiderhandelt,</w:t>
      </w:r>
    </w:p>
    <w:p>
      <w:pPr>
        <w:ind w:left="420"/>
      </w:pPr>
      <w:r>
        <w:t xml:space="preserve">3. entgegen § 5 Abs. 2 Satz 1 eine Bohrprobe oder sonstiges Beobachtungsmaterial nicht vorlegt,</w:t>
      </w:r>
    </w:p>
    <w:p>
      <w:pPr>
        <w:ind w:left="420"/>
      </w:pPr>
      <w:r>
        <w:t xml:space="preserve">4. entgegen § 5 Abs. 2 Satz 2 eine Bohr- oder sonstige Gesteinsprobe ohne Erlaubnis vernichtet oder der Anstalt auf Anfordern nicht zur Verfügung stellt oder</w:t>
      </w:r>
    </w:p>
    <w:p>
      <w:pPr>
        <w:ind w:left="420"/>
      </w:pPr>
      <w:r>
        <w:t xml:space="preserve">5. entgegen § 6 Abs. 1, 2 oder 3 eine Karte mit den dort vorgeschriebenen Nachweisen nicht einreicht.</w:t>
      </w:r>
    </w:p>
    <w:p>
      <w:r>
        <w:t xml:space="preserve">(2)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§ 10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