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LadSchlG — Verkaufsstellen auf Flughäfen und in Fährhäfen</w:t>
      </w:r>
    </w:p>
    <w:p>
      <w:r>
        <w:rPr>
          <w:color w:val="555555"/>
          <w:sz w:val="18"/>
        </w:rPr>
        <w:t xml:space="preserve">Gesetz über den Ladenschluss</w:t>
      </w:r>
    </w:p>
    <w:p>
      <w:r>
        <w:rPr>
          <w:color w:val="555555"/>
          <w:sz w:val="18"/>
        </w:rPr>
        <w:t xml:space="preserve">Stand: 10.06.2019 (konsolidierte Textfassung, kein amtliches Inkrafttretensdatum)</w:t>
      </w:r>
    </w:p>
    <w:p>
      <w:r>
        <w:t xml:space="preserve">(1) Abweichend von den Vorschriften des § 3 dürfen Verkaufsstellen auf Flughäfen an allen Tagen während des ganzen Tages geöffnet sein, am 24. Dezember jedoch nur bis 17 Uhr. An Werktagen während der allgemeinen Ladenschlusszeiten (§ 3) und an Sonn- und Feiertagen ist nur die Abgabe von Reisebedarf an Reisende gestattet.</w:t>
      </w:r>
    </w:p>
    <w:p>
      <w:r>
        <w:t xml:space="preserve">(2) Das Bundesministerium für Verkehr und digitale Infrastruktur wird ermächtigt, im Einvernehmen mit den Bundesministerien für Wirtschaft und Energie und für Arbeit und Soziales durch Rechtsverordnung mit Zustimmung des Bundesrates Ladenschlusszeiten für die in Absatz 1 genannten Verkaufsstellen vorzuschreiben und die Abgabe von Waren näher zu regeln.</w:t>
      </w:r>
    </w:p>
    <w:p>
      <w:r>
        <w:t xml:space="preserve">(3) Die Landesregierungen werden ermächtigt, durch Rechtsverordnung abweichend von Absatz 1 Satz 2 zu bestimmen, daß auf internationalen Verkehrsflughäfen und in internationalen Fährhäfen Waren des täglichen Ge- und Verbrauchs sowie Geschenkartikel an Werktagen während der allgemeinen Ladenschlußzeiten (§ 3) und an Sonn- und Feiertagen auch an andere Personen als an Reisende abgegeben werden dürfen; sie haben dabei die Größe der Verkaufsflächen auf das für diesen Zweck erforderliche Maß zu begrenzen.</w:t>
      </w:r>
    </w:p>
    <w:p>
      <w:r>
        <w:rPr>
          <w:color w:val="555555"/>
          <w:sz w:val="17"/>
        </w:rPr>
        <w:t xml:space="preserve">Zitiervorschlag: § 9 LadSchlG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https://recht.nulegal.eu/gesetze/LadSchlG/9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