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LadSchlG — Vorbehalt für die Landesgesetzgebung</w:t>
      </w:r>
    </w:p>
    <w:p>
      <w:r>
        <w:rPr>
          <w:color w:val="555555"/>
          <w:sz w:val="18"/>
        </w:rPr>
        <w:t xml:space="preserve">Gesetz über den Ladenschluss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Unberührt bleiben die landesrechtlichen Vorschriften, durch die der Gewerbebetrieb und die Beschäftigung von Arbeitnehmern in Verkaufsstellen an anderen Festtagen als an Sonn- und Feiertagen beschränkt werden.</w:t>
      </w:r>
    </w:p>
    <w:p>
      <w:r>
        <w:rPr>
          <w:color w:val="555555"/>
          <w:sz w:val="17"/>
        </w:rPr>
        <w:t xml:space="preserve">Zitiervorschlag: § 27 LadSchlG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https://recht.nulegal.eu/gesetze/LadSchlG/27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