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LadSchlG — Straftaten</w:t>
      </w:r>
    </w:p>
    <w:p>
      <w:r>
        <w:rPr>
          <w:color w:val="555555"/>
          <w:sz w:val="18"/>
        </w:rPr>
        <w:t xml:space="preserve">Gesetz über den Ladenschluss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 vorsätzlich als Inhaber einer Verkaufsstelle oder als Gewerbetreibender im Sinne des § 20 eine der in § 24 Abs. 1 Nr. 1 Buchstaben a und b bezeichneten Handlungen begeht und dadurch vorsätzlich oder fahrlässig Arbeitnehmer in ihrer Arbeitskraft oder Gesundheit gefährdet, wird mit Freiheitsstrafe bis zu sechs Monaten oder mit Geldstrafe bis zu einhundertachtzig Tagessätzen bestraft.</w:t>
      </w:r>
    </w:p>
    <w:p>
      <w:r>
        <w:rPr>
          <w:color w:val="555555"/>
          <w:sz w:val="17"/>
        </w:rPr>
        <w:t xml:space="preserve">Zitiervorschlag: § 25 LadSchlG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https://recht.nulegal.eu/gesetze/LadSchlG/25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