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LadSchlG — Ordnungswidrigkeiten</w:t>
      </w:r>
    </w:p>
    <w:p>
      <w:r>
        <w:rPr>
          <w:color w:val="555555"/>
          <w:sz w:val="18"/>
        </w:rPr>
        <w:t xml:space="preserve">Gesetz über den Ladenschluss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als Inhaber einer Verkaufsstelle oder als Gewerbetreibender im Sinne des § 20</w:t>
      </w:r>
    </w:p>
    <w:p>
      <w:pPr>
        <w:ind w:left="780"/>
      </w:pPr>
      <w:r>
        <w:t xml:space="preserve">a) einer Vorschrift des § 17 Abs. 1 bis 3 über die Beschäftigung an Sonn- und Feiertagen, die Freizeit oder den Ausgleich,</w:t>
      </w:r>
    </w:p>
    <w:p>
      <w:pPr>
        <w:ind w:left="780"/>
      </w:pPr>
      <w:r>
        <w:t xml:space="preserve">b) einer Vorschrift einer Rechtsverordnung nach § 17 Abs. 7 oder § 20 Abs. 4, soweit sie für einen bestimmten Tatbestand auf diese Bußgeldvorschrift verweist,</w:t>
      </w:r>
    </w:p>
    <w:p>
      <w:pPr>
        <w:ind w:left="780"/>
      </w:pPr>
      <w:r>
        <w:t xml:space="preserve">c) einer Vorschrift des § 21 Abs. 1 Nr. 2 über Verzeichnisse oder des § 22 Abs. 3 Nr. 2 über die Einsicht, Vorlage oder Aufbewahrung der Verzeichnisse,</w:t>
      </w:r>
    </w:p>
    <w:p>
      <w:pPr>
        <w:ind w:left="420"/>
      </w:pPr>
      <w:r>
        <w:t xml:space="preserve">2. als Inhaber einer Verkaufsstelle</w:t>
      </w:r>
    </w:p>
    <w:p>
      <w:pPr>
        <w:ind w:left="780"/>
      </w:pPr>
      <w:r>
        <w:t xml:space="preserve">a) einer Vorschrift der §§ 3, 4 Abs. 1 Satz 2, des § 6 Abs. 2, des § 9 Abs. 1 Satz 2, des § 17 Abs. 5 oder einer nach § 4 Abs. 2 Satz 1, § 8 Abs. 2, § 9 Abs. 2 oder nach § 10 oder § 11 erlassenen Rechtsvorschrift über die Ladenschlusszeiten,</w:t>
      </w:r>
    </w:p>
    <w:p>
      <w:pPr>
        <w:ind w:left="780"/>
      </w:pPr>
      <w:r>
        <w:t xml:space="preserve">b) einer sonstigen Vorschrift einer Rechtsverordnung nach § 10 oder § 11, soweit sie für einen bestimmten Tatbestand auf diese Bußgeldvorschrift verweist,</w:t>
      </w:r>
    </w:p>
    <w:p>
      <w:pPr>
        <w:ind w:left="780"/>
      </w:pPr>
      <w:r>
        <w:t xml:space="preserve">c) der Vorschrift des § 21 Abs. 1 Nr. 1 über Auslagen und Aushänge,</w:t>
      </w:r>
    </w:p>
    <w:p>
      <w:pPr>
        <w:ind w:left="420"/>
      </w:pPr>
      <w:r>
        <w:t xml:space="preserve">3. als Gewerbetreibender im Sinne des § 19 oder des § 20 einer Vorschrift des § 19 Abs. 1, 2 oder des § 20 Abs. 1, 2 über das Feilhalten von Waren im Marktverkehr oder außerhalb einer Verkaufsstelle oder</w:t>
      </w:r>
    </w:p>
    <w:p>
      <w:pPr>
        <w:ind w:left="420"/>
      </w:pPr>
      <w:r>
        <w:t xml:space="preserve">4. einer Vorschrift des § 22 Abs. 3 Nr. 1 oder Abs. 4 über die Auskunft</w:t>
      </w:r>
    </w:p>
    <w:p>
      <w:r>
        <w:t xml:space="preserve">zuwiderhandelt.</w:t>
      </w:r>
    </w:p>
    <w:p>
      <w:r>
        <w:t xml:space="preserve">(2) Die Ordnungswidrigkeit nach Absatz 1 Nr. 1 Buchstabe a und b kann mit einer Geldbuße bis zu zweitausendfünfhundert Euro, die Ordnungswidrigkeit nach Absatz 1 Nr. 1 Buchstabe c und Nr. 2 bis 4 mit einer Geldbuße bis zu fünfhundert Euro geahndet werden.</w:t>
      </w:r>
    </w:p>
    <w:p>
      <w:r>
        <w:rPr>
          <w:color w:val="555555"/>
          <w:sz w:val="17"/>
        </w:rPr>
        <w:t xml:space="preserve">Zitiervorschlag: § 24 LadSchlG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https://recht.nulegal.eu/gesetze/LadSchlG/24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LadSchlG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