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LadSchlG — Ausnahmen im öffentlichen Interesse</w:t>
      </w:r>
    </w:p>
    <w:p>
      <w:r>
        <w:rPr>
          <w:color w:val="555555"/>
          <w:sz w:val="18"/>
        </w:rPr>
        <w:t xml:space="preserve">Gesetz über den Ladenschluss</w:t>
      </w:r>
    </w:p>
    <w:p>
      <w:r>
        <w:rPr>
          <w:color w:val="555555"/>
          <w:sz w:val="18"/>
        </w:rPr>
        <w:t xml:space="preserve">Stand: 10.06.2019 (konsolidierte Textfassung, kein amtliches Inkrafttretensdatum)</w:t>
      </w:r>
    </w:p>
    <w:p>
      <w:r>
        <w:t xml:space="preserve">(1) Die obersten Landesbehörden können in Einzelfällen befristete Ausnahmen von den Vorschriften der §§ 3 bis 15 und 19 bis 21 dieses Gesetzes bewilligen, wenn die Ausnahmen im öffentlichen Interesse dringend nötig werden. Die Bewilligung kann jederzeit widerrufen werden. Die Landesregierungen werden ermächtigt, durch Rechtsverordnung die zuständigen Behörden abweichend von Satz 1 zu bestimmen. Sie können diese Ermächtigung auf oberste Landesbehörden übertragen.</w:t>
      </w:r>
    </w:p>
    <w:p>
      <w:r>
        <w:t xml:space="preserve">(2) Das Bundesministerium für Arbeit und Soziales kann im Einvernehmen mit dem Bundesministerium für Wirtschaft und Energie durch Rechtsverordnung mit Zustimmung des Bundesrates Vorschriften über die Voraussetzungen und Bedingungen für die Bewilligung von Ausnahmen im Sinne des Absatzes 1 erlassen.</w:t>
      </w:r>
    </w:p>
    <w:p>
      <w:r>
        <w:rPr>
          <w:color w:val="555555"/>
          <w:sz w:val="17"/>
        </w:rPr>
        <w:t xml:space="preserve">Zitiervorschlag: § 23 LadSchlG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https://recht.nulegal.eu/gesetze/LadSchlG/23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