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LadSchlG — Auslage des Gesetzes, Verzeichnisse</w:t>
      </w:r>
    </w:p>
    <w:p>
      <w:r>
        <w:rPr>
          <w:color w:val="555555"/>
          <w:sz w:val="18"/>
        </w:rPr>
        <w:t xml:space="preserve">Gesetz über den Ladenschluss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einer Verkaufsstelle, in der regelmäßig mindestens ein Arbeitnehmer beschäftigt wird, ist verpflichtet,</w:t>
      </w:r>
    </w:p>
    <w:p>
      <w:pPr>
        <w:ind w:left="420"/>
      </w:pPr>
      <w:r>
        <w:t xml:space="preserve">1. einen Abdruck dieses Gesetzes und der auf Grund dieses Gesetzes erlassenen Rechtsverordnungen mit Ausnahme der Vorschriften, die Verkaufsstellen anderer Art betreffen, an geeigneter Stelle in der Verkaufsstelle auszulegen oder auszuhängen,</w:t>
      </w:r>
    </w:p>
    <w:p>
      <w:pPr>
        <w:ind w:left="420"/>
      </w:pPr>
      <w:r>
        <w:t xml:space="preserve">2. ein Verzeichnis über Namen, Tag, Beschäftigungsart und -dauer der an Sonn- und Feiertagen beschäftigten Arbeitnehmer und über die diesen gemäß § 17 Abs. 3 als Ersatz für die Beschäftigung an diesen Tagen gewährte Freizeit zu führen; dies gilt nicht für die pharmazeutisch vorgebildeten Arbeitnehmer in Apotheken. Die Landesregierungen können durch Rechtsverordnung eine einheitliche Form für das Verzeichnis vorschreiben.</w:t>
      </w:r>
    </w:p>
    <w:p>
      <w:r>
        <w:t xml:space="preserve">(2) Die Verpflichtung nach Absatz 1 Nr. 2 obliegt auch den in § 20 genannten Gewerbetreibenden.</w:t>
      </w:r>
    </w:p>
    <w:p>
      <w:r>
        <w:rPr>
          <w:color w:val="555555"/>
          <w:sz w:val="17"/>
        </w:rPr>
        <w:t xml:space="preserve">Zitiervorschlag: § 21 LadSchlG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https://recht.nulegal.eu/gesetze/LadSchlG/21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