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LadSchlG — Begriffsbestimmungen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Feiertage im Sinne dieses Gesetzes sind die gesetzlichen Feiertage.</w:t>
      </w:r>
    </w:p>
    <w:p>
      <w:r>
        <w:t xml:space="preserve">(2) Reisebedarf im Sinne dieses Gesetzes sind Zeitungen, Zeitschriften, Straßenkarten, Stadtpläne, Reiselektüre, Schreibmaterialien, Tabakwaren, Schnittblumen, Reisetoilettenartikel, Filme, Tonträger, Bedarf für Reiseapotheken, Reiseandenken und Spielzeug geringeren Wertes, Lebens- und Genussmittel in kleineren Mengen sowie ausländische Geldsorten.</w:t>
      </w:r>
    </w:p>
    <w:p>
      <w:r>
        <w:rPr>
          <w:color w:val="555555"/>
          <w:sz w:val="17"/>
        </w:rPr>
        <w:t xml:space="preserve">Zitiervorschlag: § 2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