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LadSchlG — Kur- und Erholungsorte</w:t>
      </w:r>
    </w:p>
    <w:p>
      <w:r>
        <w:rPr>
          <w:color w:val="555555"/>
          <w:sz w:val="18"/>
        </w:rPr>
        <w:t xml:space="preserve">Gesetz über den Ladenschluss</w:t>
      </w:r>
    </w:p>
    <w:p>
      <w:r>
        <w:rPr>
          <w:color w:val="555555"/>
          <w:sz w:val="18"/>
        </w:rPr>
        <w:t xml:space="preserve">Stand: 10.06.2019 (konsolidierte Textfassung, kein amtliches Inkrafttretensdatum)</w:t>
      </w:r>
    </w:p>
    <w:p>
      <w:r>
        <w:t xml:space="preserve">(1) Die Landesregierungen können durch Rechtsverordnung bestimmen, dass und unter welchen Voraussetzungen und Bedingungen in Kurorten und in einzeln aufzuführenden Ausflugs-, Erholungs- und Wallfahrtsorten mit besonders starkem Fremdenverkehr Badegegenstände, Devotionalien, frische Früchte, alkoholfreie Getränke, Milch und Milcherzeugnisse im Sinne des § 4 Abs. 2 des Milch- und Fettgesetzes in der im Bundesgesetzblatt Teil III, Gliederungsnummer 7842-1, veröffentlichen bereinigten Fassung, Süßwaren, Tabakwaren, Blumen und Zeitungen sowie Waren, die für diese Orte kennzeichnend sind, abweichend von den Vorschriften des § 3 Abs. 1 Nr. 1 an jährlich höchstens 40 Sonn- und Feiertagen bis zur Dauer von acht Stunden verkauft werden dürfen. Sie können durch Rechtsverordnung die Festsetzung der zugelassenen Öffnungszeiten auf andere Stellen übertragen. Bei der Festsetzung der Öffnungszeiten ist auf die Zeit des Hauptgottesdienstes Rücksicht zu nehmen.</w:t>
      </w:r>
    </w:p>
    <w:p>
      <w:r>
        <w:t xml:space="preserve">(2) In den nach Absatz 1 erlassenen Rechtsverordnungen kann die Offenhaltung auf bestimmte Ortsteile beschränkt werden.</w:t>
      </w:r>
    </w:p>
    <w:p>
      <w:r>
        <w:rPr>
          <w:color w:val="555555"/>
          <w:sz w:val="17"/>
        </w:rPr>
        <w:t xml:space="preserve">Zitiervorschlag: § 10 LadSchlG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https://recht.nulegal.eu/gesetze/LadSchlG/10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