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LaborV (Bayern) — Aufsicht</w:t>
      </w:r>
    </w:p>
    <w:p>
      <w:r>
        <w:rPr>
          <w:color w:val="555555"/>
          <w:sz w:val="18"/>
        </w:rPr>
        <w:t xml:space="preserve">Laborverordnung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zugelassenen Prüflaboratorien unterstehen der Aufsicht des Landesamts.</w:t>
      </w:r>
    </w:p>
    <w:p>
      <w:r>
        <w:t xml:space="preserve">(2) Das Landesamt ist zuständige Stelle im Sinn von § 117 Abs. 2 Versicherungsvertragsgesetz.</w:t>
      </w:r>
    </w:p>
    <w:p>
      <w:r>
        <w:rPr>
          <w:color w:val="555555"/>
          <w:sz w:val="17"/>
        </w:rPr>
        <w:t xml:space="preserve">Zitiervorschlag: § 9 LaborV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https://recht.nulegal.eu/gesetze/LaborV/9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