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LaborV (Bayern) — Allgemeine Pflichten</w:t>
      </w:r>
    </w:p>
    <w:p>
      <w:r>
        <w:rPr>
          <w:color w:val="555555"/>
          <w:sz w:val="18"/>
        </w:rPr>
        <w:t xml:space="preserve">Laborverordnung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Prüflaboratorien sind verpflichtet,</w:t>
      </w:r>
    </w:p>
    <w:p>
      <w:r>
        <w:t xml:space="preserve">1. ihre Aufgaben ordnungsgemäß, unparteiisch und unabhängig durchzuführen,</w:t>
      </w:r>
    </w:p>
    <w:p>
      <w:r>
        <w:t xml:space="preserve">2. ihre Aufgaben mit eigenem Personal und geeigneten Geräten selbst durchzuführen; einzelne Untersuchungen können auf Prüflaboratorien mit einer Zulassung für die entsprechenden Zulassungsbereiche nach § 2 übertragen werden,</w:t>
      </w:r>
    </w:p>
    <w:p>
      <w:r>
        <w:t xml:space="preserve">3. alle Informationen, die im Zusammenhang mit den Untersuchungsaufträgen stehen, vertraulich zu behandeln,</w:t>
      </w:r>
    </w:p>
    <w:p>
      <w:r>
        <w:t xml:space="preserve">4. die vorgeschriebenen Probenahme- und Untersuchungsverfahren anzuwenden,</w:t>
      </w:r>
    </w:p>
    <w:p>
      <w:r>
        <w:t xml:space="preserve">5. alle wesentlichen Änderungen der Zulassungsvoraussetzungen, insbesondere die Stilllegung der Untersuchungsstelle sowie wesentliche Veränderungen im Untersuchungsumfang sowie in der betrieblichen oder personellen Ausstattung, unverzüglich und unaufgefordert dem Landesamt mitzuteilen.</w:t>
      </w:r>
    </w:p>
    <w:p>
      <w:r>
        <w:rPr>
          <w:color w:val="555555"/>
          <w:sz w:val="17"/>
        </w:rPr>
        <w:t xml:space="preserve">Zitiervorschlag: § 7 LaborV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https://recht.nulegal.eu/gesetze/LaborV/7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