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LaborV (Bayern) — Zulassungsverfahren</w:t>
      </w:r>
    </w:p>
    <w:p>
      <w:r>
        <w:rPr>
          <w:color w:val="555555"/>
          <w:sz w:val="18"/>
        </w:rPr>
        <w:t xml:space="preserve">Laborverordnung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Zulassung als Prüflaboratorium wird auf Antrag erteilt. Der Antrag auf Zulassung ist an das Landesamt zu richten. In dem Antrag ist anzugeben, für welche der in § 2 genannten Zulassungsbereiche die Zulassung beantragt wird. Das Zulassungsverfahren kann über eine einheitliche Stelle nach dem Bayerischen Verwaltungsverfahrensgesetz (BayVwVfG) abgewickelt werden. Art. 42a BayVwVfG gilt entsprechend.</w:t>
      </w:r>
    </w:p>
    <w:p>
      <w:r>
        <w:t xml:space="preserve">(2) Dem Antrag sind die folgenden Unterlagen beizufügen:</w:t>
      </w:r>
    </w:p>
    <w:p>
      <w:r>
        <w:t xml:space="preserve">1. die Nachweise und Erklärungen zu den Anforderungen an die Ausstattung und Kompetenz des Prüflaboratoriums gemäß § 4 Abs. 1,</w:t>
      </w:r>
    </w:p>
    <w:p>
      <w:r>
        <w:t xml:space="preserve">2. Unterlagen zum Nachweis der fachlichen und persönlichen Voraussetzungen des Prüflaboratorienleiters und seines Vertreters:</w:t>
      </w:r>
    </w:p>
    <w:p>
      <w:r>
        <w:t xml:space="preserve">a) ein Lebenslauf mit lückenloser Angabe des fachlichen Werdegangs,</w:t>
      </w:r>
    </w:p>
    <w:p>
      <w:r>
        <w:t xml:space="preserve">b) die jeweils erforderlichen Nachweise nach § 4 Abs. 2 Sätze 2 bis 4,</w:t>
      </w:r>
    </w:p>
    <w:p>
      <w:r>
        <w:t xml:space="preserve">c) ein polizeiliches Führungszeugnis zur Vorlage bei Behörden gemäß § 31 Bundeszentralregistergesetz,</w:t>
      </w:r>
    </w:p>
    <w:p>
      <w:r>
        <w:t xml:space="preserve">d) eine Erklärung, dass Unzuverlässigkeitsgründe nach § 4 Abs. 2 Satz 6 nicht vorliegen,</w:t>
      </w:r>
    </w:p>
    <w:p>
      <w:r>
        <w:t xml:space="preserve">3. der Nachweis einer Haftpflichtversicherung nach § 4 Abs. 3,</w:t>
      </w:r>
    </w:p>
    <w:p>
      <w:r>
        <w:t xml:space="preserve">4. eine Einverständniserklärung über die Speicherung und Weitergabe von Informationen zu Zulassungen, Überwachungsaudits und Ringversuchen zwischen den Ländern und der Akkreditierungsstelle.</w:t>
      </w:r>
    </w:p>
    <w:p>
      <w:r>
        <w:t xml:space="preserve">Die Anforderungen nach Satz 1 Nrn. 2 und 3 entfallen für anerkannte private Sachverständige nach § 1 Nr. 6 VPSW für eine Zulassung im Bereich nach § 2 Abs. 1 Nr. 1.</w:t>
      </w:r>
    </w:p>
    <w:p>
      <w:r>
        <w:t xml:space="preserve">(3) Die Zulassung wird befristet erteilt; die Frist beträgt höchstens fünf Jahre. Sie wird auf Antrag verlängert, wenn das Prüflaboratorium die Voraussetzungen nach § 4 weiterhin erfüllt.</w:t>
      </w:r>
    </w:p>
    <w:p>
      <w:r>
        <w:rPr>
          <w:color w:val="555555"/>
          <w:sz w:val="17"/>
        </w:rPr>
        <w:t xml:space="preserve">Zitiervorschlag: § 5 LaborV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https://recht.nulegal.eu/gesetze/LaborV/5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