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LaborV (Bayern) — Voraussetzungen der Zulassung</w:t>
      </w:r>
    </w:p>
    <w:p>
      <w:r>
        <w:rPr>
          <w:color w:val="555555"/>
          <w:sz w:val="18"/>
        </w:rPr>
        <w:t xml:space="preserve">Laborverordnung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Zugelassen werden Prüflaboratorien, die über die erforderliche personelle und gerätetechnische Ausstattung verfügen und die Erfüllung der Kompetenz entsprechend DIN EN ISO/IEC 17025, Ausgabe März 2018, sowie der Anforderungen des Fachmoduls Wasser zur Verwaltungsvereinbarung der Länder über den Kompetenznachweis und die Notifizierung von Prüflaboratorien und Messstellen im gesetzlich geregelten Umweltbereich (Stand April 2024), das bei der Bund/Länder-Arbeitsgemeinschaft Wasser zu beziehen und beim Staatsministerium für Umwelt und Verbraucherschutz archivmäßig gesichert niedergelegt ist (Fachmodul Wasser) nachweisen können. Abweichend von Satz 1 können private Sachverständige in der Wasserwirtschaft, die für den Anerkennungsbereich nach § 1 Nr. 6 der Sachverständigenverordnung Wasser (VPSW) anerkannt sind, für ihre Tätigkeit als privater Sachverständiger in der Wasserwirtschaft als Prüflaboratorium auch zugelassen werden, wenn sie</w:t>
      </w:r>
    </w:p>
    <w:p>
      <w:r>
        <w:t xml:space="preserve">1. über die erforderliche gerätetechnische Ausstattung verfügen und</w:t>
      </w:r>
    </w:p>
    <w:p>
      <w:r>
        <w:t xml:space="preserve">2. die Erfüllung der Anforderungen der DIN EN ISO/IEC 17025, Ausgabe März 2018, und des Fachmoduls Wasser im Hinblick auf die Sicherstellung der Probenahme- und Analysenqualität nachweisen können.</w:t>
      </w:r>
    </w:p>
    <w:p>
      <w:r>
        <w:t xml:space="preserve">(2) Prüflaboratorien müssen von einer Person verantwortlich geleitet werden (Prüflaboratorienleiter), die die persönlichen und fachlichen Voraussetzungen erfüllt und zuverlässig ist. Die fachlichen und persönlichen Voraussetzungen erfüllen Personen, die</w:t>
      </w:r>
    </w:p>
    <w:p>
      <w:r>
        <w:t xml:space="preserve">1. einen Bachelor-, Master- oder Diplomstudiengang an einer inländischen Universität oder Fachhochschule im Studienfach Chemie, Lebensmittelchemie oder einer vergleichbaren Fachrichtung erfolgreich abgeschlossen haben,</w:t>
      </w:r>
    </w:p>
    <w:p>
      <w:r>
        <w:t xml:space="preserve">2. über eine mindestens dreijährige Berufserfahrung in der Wasser- und Abwasseranalytik verfügen und</w:t>
      </w:r>
    </w:p>
    <w:p>
      <w:r>
        <w:t xml:space="preserve">3. nicht in einem Abhängigkeitsverhältnis stehen, das ihre Tätigkeit beeinflussen kann.</w:t>
      </w:r>
    </w:p>
    <w:p>
      <w:r>
        <w:t xml:space="preserve">Ausländische Ausbildungsnachweise können nach der Richtlinie 2005/36/EG des Europäischen Parlaments und des Rates vom 7. September 2005 über die Anerkennung von Berufsqualifikationen (ABl L 255 S. 22, ber. 2007 L 271 S. 18, 2008 L 93 S. 28, 2009 L 33 S. 49), zuletzt geändert durch Verordnung (EG) 279/2009 vom 6. April 2009 (ABl L 93 S. 11), anerkannt werden. Die Beherrschung der deutschen Sprache in Wort und Schrift ist Voraussetzung für die Anerkennung. Das Landesamt kann im Einzelfall Ausnahmen von den Voraussetzungen nach Satz 2 zulassen, wenn dadurch eine ordnungsgemäße Aufgabenerfüllung nicht gefährdet ist. Unzuverlässig sind insbesondere Personen, die</w:t>
      </w:r>
    </w:p>
    <w:p>
      <w:r>
        <w:t xml:space="preserve">1. die Fähigkeit, öffentliche Ämter zu bekleiden, nicht besitzen,</w:t>
      </w:r>
    </w:p>
    <w:p>
      <w:r>
        <w:t xml:space="preserve">2. wegen gemeingefährlicher Delikte oder wegen Delikte gegen die Umwelt oder sonstiger Strafbestimmungen zum Schutz der Umwelt zu einer Freiheitsstrafe oder Geldstrafe rechtskräftig verurteilt worden sind,</w:t>
      </w:r>
    </w:p>
    <w:p>
      <w:r>
        <w:t xml:space="preserve">3. wegen Verletzung der Vorschriften des Wasser-, Immissionsschutz-, Abfall- oder Naturschutzrechts mit einer Geldbuße in Höhe von mehr als fünfhundert Euro belegt worden sind oder</w:t>
      </w:r>
    </w:p>
    <w:p>
      <w:r>
        <w:t xml:space="preserve">4. durch gerichtliche Anordnung oder durch Eröffnung des Insolvenzverfahrens in der Verfügung über ihr Vermögen beschränkt sind.</w:t>
      </w:r>
    </w:p>
    <w:p>
      <w:r>
        <w:t xml:space="preserve">Die Anforderungen nach den Sätzen 2 bis 6 gelten auch für den Vertreter des Prüflaboratorienleiters. Sie gelten nicht für anerkannte private Sachverständige nach § 1 Nr. 6 VPSW für eine Zulassung im Bereich nach § 2 Abs. 1 Nr. 1.</w:t>
      </w:r>
    </w:p>
    <w:p>
      <w:r>
        <w:t xml:space="preserve">(3) Prüflaboratorien müssen über eine ausreichende Haftpflichtversicherung mit einer Mindestdeckungssumme von eineinhalb Millionen Euro pauschal für Personen-, Sach-, Gewässer- und Vermögensschäden je Versicherungsfall bei mindestens zweifacher Maximierung im Versicherungsjahr verfügen. Abs. 2 Satz 8 gilt entsprechend.</w:t>
      </w:r>
    </w:p>
    <w:p>
      <w:r>
        <w:rPr>
          <w:color w:val="555555"/>
          <w:sz w:val="17"/>
        </w:rPr>
        <w:t xml:space="preserve">Zitiervorschlag: § 4 LaborV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https://recht.nulegal.eu/gesetze/LaborV/4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