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LaGrPV (Brandenburg) — Inkrafttreten, Außerkrafttreten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 Gleichzeitig tritt die</w:t>
      </w:r>
    </w:p>
    <w:p>
      <w:r>
        <w:t xml:space="preserve">Ergänzungsprüfungsverordnung Latinum/Graecum vom 9. September 1997 (GVBl. II</w:t>
      </w:r>
    </w:p>
    <w:p>
      <w:r>
        <w:t xml:space="preserve">S. 781) außer Kraft.</w:t>
      </w:r>
    </w:p>
    <w:p>
      <w:r>
        <w:t xml:space="preserve">Potsdam, den 26. Mai 2011</w:t>
      </w:r>
    </w:p>
    <w:p>
      <w:r>
        <w:t xml:space="preserve">Die</w:t>
      </w:r>
    </w:p>
    <w:p>
      <w:r>
        <w:t xml:space="preserve">Ministerin für Bildung, Jugend und Sport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6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