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LaGrPV (Brandenburg) — Voraussetzungen für eine Latinum-/Graecumprüfung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Schülerinnen</w:t>
      </w:r>
    </w:p>
    <w:p>
      <w:r>
        <w:t xml:space="preserve">und Schüler können das Latinum oder Graecum erwerben, wenn sie in einer Prüfung</w:t>
      </w:r>
    </w:p>
    <w:p>
      <w:r>
        <w:t xml:space="preserve">nachweisen, dass sie über die Kenntnisse in Latein oder Griechisch gemäß § 2</w:t>
      </w:r>
    </w:p>
    <w:p>
      <w:r>
        <w:t xml:space="preserve">verfügen (Latinum-/Graecumprüfung). Die Latinum-/Graecumprüfung besteht aus</w:t>
      </w:r>
    </w:p>
    <w:p>
      <w:r>
        <w:t xml:space="preserve">einer schriftlichen und einer mündlichen Prüfung.</w:t>
      </w:r>
    </w:p>
    <w:p>
      <w:r>
        <w:t xml:space="preserve">(2) Voraussetzung</w:t>
      </w:r>
    </w:p>
    <w:p>
      <w:r>
        <w:t xml:space="preserve">für eine Latinum-/Graecumprüfung ist ein aufsteigender und ununterbrochener</w:t>
      </w:r>
    </w:p>
    <w:p>
      <w:r>
        <w:t xml:space="preserve">Pflicht-, Wahlpflicht- oder Wahlunterricht in Latein oder Griechisch von</w:t>
      </w:r>
    </w:p>
    <w:p>
      <w:r>
        <w:t xml:space="preserve">mindestens drei Schuljahren in der Sekundarstufe I oder in der gymnasialen</w:t>
      </w:r>
    </w:p>
    <w:p>
      <w:r>
        <w:t xml:space="preserve">Oberstufe oder in den Bildungsgängen des Zweiten Bildungsweges.</w:t>
      </w:r>
    </w:p>
    <w:p>
      <w:r>
        <w:t xml:space="preserve">(3) Eine</w:t>
      </w:r>
    </w:p>
    <w:p>
      <w:r>
        <w:t xml:space="preserve">Latinum-/Graecumprüfung ist ausgeschlossen, wenn Latein oder Griechisch</w:t>
      </w:r>
    </w:p>
    <w:p>
      <w:r>
        <w:t xml:space="preserve">Abiturprüfungsfach ist.</w:t>
      </w:r>
    </w:p>
    <w:p>
      <w:r>
        <w:rPr>
          <w:color w:val="555555"/>
          <w:sz w:val="17"/>
        </w:rPr>
        <w:t xml:space="preserve">Zitiervorschlag: § 1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