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LZulVO - (Nordrhein-Westfalen)</w:t>
      </w:r>
    </w:p>
    <w:p>
      <w:r>
        <w:rPr>
          <w:color w:val="555555"/>
          <w:sz w:val="18"/>
        </w:rPr>
        <w:t xml:space="preserve">Landeszulagenverordnung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mit Wirkung vom 1. Oktober 1977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Hinweis</w:t>
      </w:r>
    </w:p>
    <w:p>
      <w:r>
        <w:t xml:space="preserve">Wiederherstellung des Verordnungsranges</w:t>
      </w:r>
    </w:p>
    <w:p>
      <w:r>
        <w:t xml:space="preserve">(Artikel 270 des Zweiten Befristungsgesetzes vom 5.4.2005 (GV. NRW. S. 274))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rPr>
          <w:color w:val="555555"/>
          <w:sz w:val="17"/>
        </w:rPr>
        <w:t xml:space="preserve">Zitiervorschlag: § 6 LZulVO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https://recht.nulegal.eu/gesetze/LZulVO%20-/6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