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LZulVO - (Nordrhein-Westfalen)</w:t>
      </w:r>
    </w:p>
    <w:p>
      <w:r>
        <w:rPr>
          <w:color w:val="555555"/>
          <w:sz w:val="18"/>
        </w:rPr>
        <w:t xml:space="preserve">Landeszulagenverordnung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Stehen einem Beamten mehrere Stellenzulagen nach dieser Verordnung zu, so wird nur die höhere gezahlt. Der Anspruch auf die Stellenzulage nach § 2 ruht für die Zeit, in der Anspruch auf die Stellenzulage nach § 77 Abs. 2 des Bundesbesoldungsgesetzes besteht.</w:t>
      </w:r>
    </w:p>
    <w:p>
      <w:r>
        <w:rPr>
          <w:color w:val="555555"/>
          <w:sz w:val="17"/>
        </w:rPr>
        <w:t xml:space="preserve">Zitiervorschlag: § 5 LZulVO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https://recht.nulegal.eu/gesetze/LZulVO%20-/5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