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LZV (Nordrhein-Westfalen) — Übergreifende Kompetenzen</w:t>
      </w:r>
    </w:p>
    <w:p>
      <w:r>
        <w:rPr>
          <w:color w:val="555555"/>
          <w:sz w:val="18"/>
        </w:rPr>
        <w:t xml:space="preserve">Lehramtszugangsverordnung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Absolventinnen und Absolventen aller Lehrämter und aller Fächer weisen neben den in § 2 Absatz 2 Satz 2 des Lehramtsausbildungsgesetzes genannten, folgende übergreifende Kompetenzen nach:</w:t>
      </w:r>
    </w:p>
    <w:p>
      <w:r>
        <w:t xml:space="preserve">1. Kompetenzen zum fachspezifischen Umgang mit den sich weiterentwickelnden Informations- und Kommunikationstechniken sowie pädagogische Medienkompetenz unter besonderer Berücksichtigung von Fragen des Lehrens und Lernens in einer digitalisierten Welt,</w:t>
      </w:r>
    </w:p>
    <w:p>
      <w:r>
        <w:t xml:space="preserve">2. Grundkompetenzen im Bereich geschlechtersensibler Bildung,</w:t>
      </w:r>
    </w:p>
    <w:p>
      <w:r>
        <w:t xml:space="preserve">3. Grundkompetenzen im Umgang mit Vielfalt, einschließlich der Förderung von Schülerinnen und Schülern in Deutsch für Schülerinnen und Schüler mit Zuwanderungsgeschichte im Zusammenhang interkultureller Bildung,</w:t>
      </w:r>
    </w:p>
    <w:p>
      <w:r>
        <w:t xml:space="preserve">4. Grundkompetenzen, die für Teilnahme und gestaltende Mitwirkung bei der Schulentwicklung und bei der Entwicklung des Ganztagsbereichs erforderlich sind,</w:t>
      </w:r>
    </w:p>
    <w:p>
      <w:r>
        <w:t xml:space="preserve">5. Grundkompetenzen in der Förderung von Alphabetisierung und Grundbildung,</w:t>
      </w:r>
    </w:p>
    <w:p>
      <w:r>
        <w:t xml:space="preserve">6. Grundkompetenzen zur Berufsorientierung der Schülerinnen und Schüler und</w:t>
      </w:r>
    </w:p>
    <w:p>
      <w:r>
        <w:t xml:space="preserve">7. Grundkompetenzen im Umgang mit gesellschaftlichen Herausforderungen, insbesondere in den Bereichen Demokratiebildung, gruppenbezogene Menschenfeindlichkeit wie Antisemitismus und Bildung für nachhaltige Entwicklung.</w:t>
      </w:r>
    </w:p>
    <w:p>
      <w:r>
        <w:rPr>
          <w:color w:val="555555"/>
          <w:sz w:val="17"/>
        </w:rPr>
        <w:t xml:space="preserve">Zitiervorschlag: § 10 LZV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https://recht.nulegal.eu/gesetze/LZV/10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