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LWaldG (Brandenburg) — Erstaufforstung</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Neuanlage von Wald (Erstaufforstung) bedarf der Genehmigung der unteren Forstbehörde. Andere landesgesetzliche Bestimmungen bleiben unberührt. Erstaufforstungen, die innerhalb der Durchführung von Sanierungs- und Abschlussbetriebsplänen anfallen, bedürfen keiner Genehmigung, wenn mit dem Bergbauvorhaben vor dem Beitritt der Deutschen Demokratischen Republik zur Bundesrepublik Deutschland im Rahmen der damals geltenden Rechtsvorschriften begonnen wurde oder wenn sie im Bereich der für den Bergbau beanspruchten Betriebsflächen liegen.</w:t>
      </w:r>
    </w:p>
    <w:p>
      <w:r>
        <w:t xml:space="preserve">(2) Bei der Entscheidung hat die untere Forstbehörde die Belange der Allgemeinheit sowie die Rechte, Pflichten und wirtschaftlichen Interessen der Besitzer untereinander und gegeneinander abzuwägen.</w:t>
      </w:r>
    </w:p>
    <w:p>
      <w:r>
        <w:t xml:space="preserve">(3) Die Genehmigung darf nur versagt werden, wenn Ziele und Erfordernisse der Raumordnung der Aufforstung entgegenstehen oder wenn die bestimmungsgemäße Nutzung der benachbarten Grundstücke nicht mehr gewährleistet ist.</w:t>
      </w:r>
    </w:p>
    <w:p>
      <w:r>
        <w:t xml:space="preserve">(4) Handelt es sich bei der Erstaufforstung um ein Vorhaben, für das eine Umweltverträglichkeitsprüfung durchzuführen ist, muss das Genehmigungsverfahren den Anforderungen der Umweltverträglichkeitsprüfung entsprechen.</w:t>
      </w:r>
    </w:p>
    <w:p>
      <w:r>
        <w:rPr>
          <w:color w:val="555555"/>
          <w:sz w:val="17"/>
        </w:rPr>
        <w:t xml:space="preserve">Zitiervorschlag: § 9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