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LWaldG (Brandenburg) — Ordnungsgemäße Forstwirtschaft</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forstliche Bewirtschaftung des Waldes hat seiner Zweckbestimmung zu dienen und muss nachhaltig, pfleglich und sachgemäß nach anerkannten forstlichen Grundsätzen erfolgen (ordnungsgemäße Forstwirtschaft).</w:t>
      </w:r>
    </w:p>
    <w:p>
      <w:r>
        <w:t xml:space="preserve">(2) Die nachhaltige Bewirtschaftung soll die Schutz-, Nutz- und Erholungsfunktionen stetig und auf Dauer gewährleisten. Damit im Zusammenhang stehen das Streben nach Erhaltung der Waldfläche, Erhaltung und Wiederherstellung der Fruchtbarkeit der Waldböden, nach bestmöglicher Vorratsgliederung sowie der Erhalt und die Wiederherstellung der ökologischen Vielfalt des Waldes, die Sicherung der Genressourcen und der Erhalt des Lebensraumes für Tier- und Pflanzenarten.</w:t>
      </w:r>
    </w:p>
    <w:p>
      <w:r>
        <w:t xml:space="preserve">(3) Zur nachhaltigen, pfleglichen und sachgemäßen Bewirtschaftung des Waldes gehört insbesondere</w:t>
      </w:r>
    </w:p>
    <w:p>
      <w:r>
        <w:t xml:space="preserve">die natürlichen Bodenfunktionen wiederherzustellen und zu erhalten,</w:t>
      </w:r>
    </w:p>
    <w:p>
      <w:r>
        <w:t xml:space="preserve">die Erhaltung und Entwicklung von stabilen Waldökosystemen, die in ihrem Artenspektrum, in ihrer räumlichen Struktur sowie in ihrer Eigendynamik den natürlichen Waldgesellschaften nahe kommen,</w:t>
      </w:r>
    </w:p>
    <w:p>
      <w:r>
        <w:t xml:space="preserve">die Schaffung und Erhaltung eines überwiegenden Anteils standortheimischer/standortgerechter Baum- und Straucharten (als standortheimisch gilt eine wild lebende Pflanzenart, wenn sich ihr jeweiliger Wuchsstandort im natürlichen Verbreitungsgebiet der betreffenden Art befindet),</w:t>
      </w:r>
    </w:p>
    <w:p>
      <w:r>
        <w:t xml:space="preserve">notwendige Pflegemaßnahmen zur Erhaltung solcher Wälder durchzuführen,</w:t>
      </w:r>
    </w:p>
    <w:p>
      <w:r>
        <w:t xml:space="preserve">der Gefahr von biotischen und abiotischen Schädigungen der Waldbestände naturverträglich vorzubeugen,</w:t>
      </w:r>
    </w:p>
    <w:p>
      <w:r>
        <w:t xml:space="preserve">Waldschutzmaßnahmen nach den Grundsätzen des integrierten Pflanzenschutzes durchzuführen, wobei präventiven Waldbaumaßnahmen der Vorrang einzuräumen ist,</w:t>
      </w:r>
    </w:p>
    <w:p>
      <w:r>
        <w:t xml:space="preserve">die Bewirtschaftung boden- und bestandesschonend unter Berücksichtigung des Landschaftsbildes sowie der Erhaltung und Verbesserung der Lebensräume der Tier- und Pflanzenarten vorzunehmen,</w:t>
      </w:r>
    </w:p>
    <w:p>
      <w:r>
        <w:t xml:space="preserve">eine Walderschließung so zu gestalten, dass den Waldfunktionen ausreichend Rechnung getragen wird,</w:t>
      </w:r>
    </w:p>
    <w:p>
      <w:r>
        <w:t xml:space="preserve">den Vorrang gesunder und artenreicher Waldbestände bei der Wildbewirtschaftung zu gewährleisten,</w:t>
      </w:r>
    </w:p>
    <w:p>
      <w:r>
        <w:t xml:space="preserve">Nebennutzungen zuzulassen, soweit sie die Funktionen des Waldes nicht beeinträchtigen,</w:t>
      </w:r>
    </w:p>
    <w:p>
      <w:r>
        <w:t xml:space="preserve">der Erhalt und die Wiederherstellung naturnaher Waldinnen- und Außenränder,</w:t>
      </w:r>
    </w:p>
    <w:p>
      <w:r>
        <w:t xml:space="preserve">die Wasserrückhaltung des Waldes zu erhalten und zu verbessern,</w:t>
      </w:r>
    </w:p>
    <w:p>
      <w:r>
        <w:t xml:space="preserve">der Erhalt eines hinreichenden Anteils von stehendem und liegendem Totholz,</w:t>
      </w:r>
    </w:p>
    <w:p>
      <w:r>
        <w:t xml:space="preserve">die sorgfältige Abwägung zwischen natürlicher Sukzession, Naturverjüngung, Saat und Anpflanzung.</w:t>
      </w:r>
    </w:p>
    <w:p>
      <w:r>
        <w:rPr>
          <w:color w:val="555555"/>
          <w:sz w:val="17"/>
        </w:rPr>
        <w:t xml:space="preserve">Zitiervorschlag: § 4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