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LWaldG (Brandenburg) — Verfolgung und Ahndung von Ordnungswidrigkeiten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Gegenstände, auf die sich eine Ordnungswidrigkeit nach dem § 37 bezieht, können eingezogen werden. § 23 des Gesetzes über Ordnungswidrigkeiten findet Anwendung.</w:t>
      </w:r>
    </w:p>
    <w:p>
      <w:r>
        <w:t xml:space="preserve">(2) Verwaltungsbehörde im Sinne des § 36 Abs. 1 Nr. 1 des Gesetzes über Ordnungswidrigkeiten ist die untere Forstbehörde.</w:t>
      </w:r>
    </w:p>
    <w:p>
      <w:r>
        <w:t xml:space="preserve">(3) Kann bei einem Verstoß gegen § 16 Abs. 1 und 2 der Fahrer des Fahrzeugs, der den Verstoß begangen hat, nicht oder nur mit unangemessenem Aufwand ermittelt werden, kann die untere Forstbehörde die ihr entstandenen Aufwendungen dem Halter des Kraftfahrzeugs auferlegen; er hat dann auch seine Auslagen zu tragen.</w:t>
      </w:r>
    </w:p>
    <w:p>
      <w:r>
        <w:rPr>
          <w:color w:val="555555"/>
          <w:sz w:val="17"/>
        </w:rPr>
        <w:t xml:space="preserve">Zitiervorschlag: § 38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