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LWaldG (Brandenburg) — Ordnungswidrigkeiten</w:t>
      </w:r>
    </w:p>
    <w:p>
      <w:r>
        <w:rPr>
          <w:color w:val="555555"/>
          <w:sz w:val="18"/>
        </w:rPr>
        <w:t xml:space="preserve">Waldgesetz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entgegen § 8 Abs. 1 Wald ohne Genehmigung in eine andere Nutzungsart umwandelt,</w:t>
      </w:r>
    </w:p>
    <w:p>
      <w:r>
        <w:t xml:space="preserve">die nach § 8 Abs. 3 mit der Waldumwandlungsgenehmigung verbundenen Nebenbestimmungen nicht oder nicht vollständig erfüllt,</w:t>
      </w:r>
    </w:p>
    <w:p>
      <w:r>
        <w:t xml:space="preserve">entgegen § 9 Abs. 1 Wald ohne Genehmigung neu anlegt,</w:t>
      </w:r>
    </w:p>
    <w:p>
      <w:r>
        <w:t xml:space="preserve">entgegen § 10 Abs. 1 einen Kahlschlag führt,</w:t>
      </w:r>
    </w:p>
    <w:p>
      <w:r>
        <w:t xml:space="preserve">ohne die nach § 10 Abs. 4 Satz 2 notwendige Anzeige einen Kahlschlag führt,</w:t>
      </w:r>
    </w:p>
    <w:p>
      <w:r>
        <w:t xml:space="preserve">entgegen § 11 Abs. 1 seiner Wiederbewaldungspflicht nach Kahlschlag oder seiner Pflicht nach § 11 Abs. 2 nicht oder unvollständig nachkommt,</w:t>
      </w:r>
    </w:p>
    <w:p>
      <w:r>
        <w:t xml:space="preserve">einer Vorschrift einer aufgrund des § 12 Abs. 1 erlassenen Rechtsverordnung zuwiderhandelt, soweit die Rechtsvorschrift für einen bestimmten Tatbestand auf diese Bußgeldvorschrift verweist,</w:t>
      </w:r>
    </w:p>
    <w:p>
      <w:r>
        <w:t xml:space="preserve">entgegen § 15 Abs. 1 den Wald betritt,</w:t>
      </w:r>
    </w:p>
    <w:p>
      <w:r>
        <w:t xml:space="preserve">entgegen § 15 Abs. 2 den Wald gefährdet oder beschädigt sowie die Erholung anderer stört,</w:t>
      </w:r>
    </w:p>
    <w:p>
      <w:r>
        <w:t xml:space="preserve">unbefugt die in § 15 Abs. 3 aufgeführten Waldflächen und Einrichtungen betritt,</w:t>
      </w:r>
    </w:p>
    <w:p>
      <w:r>
        <w:t xml:space="preserve">entgegen den Vorschriften nach § 15 Abs. 4 Rad fährt, Krankenfahrstuhl fährt, reitet oder mit nicht motorisierten Gespannen fährt,</w:t>
      </w:r>
    </w:p>
    <w:p>
      <w:r>
        <w:t xml:space="preserve">entgegen den Vorschriften nach § 15 Abs. 5 reitet oder mit bespannten Fahrzeugen fährt,</w:t>
      </w:r>
    </w:p>
    <w:p>
      <w:r>
        <w:t xml:space="preserve">ohne die nach § 15 Abs. 6 erforderliche Anzeige Reit-, Rad- oder Wanderwege oder Sport- und Lehrpfade anlegt oder markiert,</w:t>
      </w:r>
    </w:p>
    <w:p>
      <w:r>
        <w:t xml:space="preserve">entgegen § 15 Abs. 6 die Anlage von Reit-, Rad- oder Wanderwegen oder Sport- und Lehrpfaden nicht duldet,</w:t>
      </w:r>
    </w:p>
    <w:p>
      <w:r>
        <w:t xml:space="preserve">den Vorschriften des § 15 Abs. 7 zuwiderhandelt,</w:t>
      </w:r>
    </w:p>
    <w:p>
      <w:r>
        <w:t xml:space="preserve">entgegen § 15 Abs. 8 Hunde unangeleint mitführt,</w:t>
      </w:r>
    </w:p>
    <w:p>
      <w:r>
        <w:t xml:space="preserve">entgegen § 16 unberechtigt den Wald befährt oder Fahrzeuge im Wald abstellt,</w:t>
      </w:r>
    </w:p>
    <w:p>
      <w:r>
        <w:t xml:space="preserve">entgegen § 16 Abs. 2 Satz 2 die Gestattung nicht auf Verlangen vorzeigt,</w:t>
      </w:r>
    </w:p>
    <w:p>
      <w:r>
        <w:t xml:space="preserve">entgegen § 17 Abs. 1 die Gestattung nicht auf Verlangen vorzeigt,</w:t>
      </w:r>
    </w:p>
    <w:p>
      <w:r>
        <w:t xml:space="preserve">entgegen § 17 Abs. 2 eine Gestattung nicht unverzüglich oder unvollständig anzeigt,</w:t>
      </w:r>
    </w:p>
    <w:p>
      <w:r>
        <w:t xml:space="preserve">entgegen § 18 Abs. 2 ohne vorherige Genehmigung den Wald sperrt,</w:t>
      </w:r>
    </w:p>
    <w:p>
      <w:r>
        <w:t xml:space="preserve">seinen Verpflichtungen zum Waldschutz nach § 19 Abs. 2 nicht oder nur unvollständig nachkommt,</w:t>
      </w:r>
    </w:p>
    <w:p>
      <w:r>
        <w:t xml:space="preserve">den Verpflichtungen zum vorbeugenden Waldbrandschutz nach § 20 Abs. 1 nicht oder nur unvollständig nachkommt,</w:t>
      </w:r>
    </w:p>
    <w:p>
      <w:r>
        <w:t xml:space="preserve">entgegen § 20 Abs. 3 seiner Duldungspflicht nicht nachkommt,</w:t>
      </w:r>
    </w:p>
    <w:p>
      <w:r>
        <w:t xml:space="preserve">den Vorschriften des § 23 zuwiderhandelt,</w:t>
      </w:r>
    </w:p>
    <w:p>
      <w:r>
        <w:t xml:space="preserve">entgegen § 24 Abs. 1 den Wald verschmutzt oder entgegen § 24 Abs. 2 Satz 1 eine Waldverschmutzung nicht unverzüglich beseitigt,</w:t>
      </w:r>
    </w:p>
    <w:p>
      <w:r>
        <w:t xml:space="preserve">entgegen § 32 Abs. 1 Satz 4 den Bediensteten der Forstbehörden den Zutritt zu den Waldgrundstücken verweigert.</w:t>
      </w:r>
    </w:p>
    <w:p>
      <w:r>
        <w:t xml:space="preserve">(2) Ordnungswidrig handelt ferner, wer vorsätzlich oder fahrlässig im Wald</w:t>
      </w:r>
    </w:p>
    <w:p>
      <w:r>
        <w:t xml:space="preserve">Motorsport betreibt,</w:t>
      </w:r>
    </w:p>
    <w:p>
      <w:r>
        <w:t xml:space="preserve">den Anordnungen der unteren Forstbehörde nicht, unvollständig oder nicht rechtzeitig nachkommt,</w:t>
      </w:r>
    </w:p>
    <w:p>
      <w:r>
        <w:t xml:space="preserve">Erholungs- und Sporteinrichtungen entgegen ihrer Zweckbestimmung benutzt, beschmutzt, beschädigt, zerstört oder entfernt,</w:t>
      </w:r>
    </w:p>
    <w:p>
      <w:r>
        <w:t xml:space="preserve">Vorrichtungen, die zum Sperren dienen oder Einzäunungen verschmutzt, beschädigt, unbefugt öffnet oder offen stehen lässt, entfernt oder unbrauchbar macht,</w:t>
      </w:r>
    </w:p>
    <w:p>
      <w:r>
        <w:t xml:space="preserve">Zeichen oder Vorrichtungen, die zur Abgrenzung, Absperrung, Vermessung oder als Wegweiser dienen verschmutzt, beschädigt, unbefugt entfernt oder anbringt oder unbrauchbar macht,</w:t>
      </w:r>
    </w:p>
    <w:p>
      <w:r>
        <w:t xml:space="preserve">Aufschüttungen oder Grabungen unbefugt vornimmt,</w:t>
      </w:r>
    </w:p>
    <w:p>
      <w:r>
        <w:t xml:space="preserve">unbefugt Bodenbestandteile, Steine, Mineralien oder deren Gemische oder ähnliche Gegenstände im Ganzen oder teilweise entfernt, zu deren Gewinnung es einer behördlichen Erlaubnis nicht bedarf,</w:t>
      </w:r>
    </w:p>
    <w:p>
      <w:r>
        <w:t xml:space="preserve">Vieh weidet oder weiden lässt, soweit dies nicht der Biotoppflege im Wald dient,</w:t>
      </w:r>
    </w:p>
    <w:p>
      <w:r>
        <w:t xml:space="preserve">Werbevorrichtungen oder Plakate anbringt, aufstellt oder auslegt,</w:t>
      </w:r>
    </w:p>
    <w:p>
      <w:r>
        <w:t xml:space="preserve">einer aufgrund dieses Gesetzes ergangenen Rechtsverordnung zuwiderhandelt, soweit sie für bestimmte Tatbestände auf diese Bußgeldvorschrift verweist,</w:t>
      </w:r>
    </w:p>
    <w:p>
      <w:r>
        <w:t xml:space="preserve">die Benutzung der Waldwege behindert oder unmöglich macht,</w:t>
      </w:r>
    </w:p>
    <w:p>
      <w:r>
        <w:t xml:space="preserve">Anlagen oder Einrichtungen, die dem vorbeugenden Waldbrandschutz dienen unbefugt nutzt, beschädigt oder zerstört.</w:t>
      </w:r>
    </w:p>
    <w:p>
      <w:r>
        <w:t xml:space="preserve">(3) Die Ordnungswidrigkeiten oder deren Versuch nach Absatz 1 Nr. 1, 2, 4, 5, 21, 22 und 23 sowie nach Absatz 2 Nr. 2 können mit einer Geldbuße bis zu 100 000 Euro, die übrigen Ordnungswidrigkeiten mit einer Geldbuße bis zu 20 000 Euro geahndet werden.</w:t>
      </w:r>
    </w:p>
    <w:p>
      <w:r>
        <w:rPr>
          <w:color w:val="555555"/>
          <w:sz w:val="17"/>
        </w:rPr>
        <w:t xml:space="preserve">Zitiervorschlag: § 37 LWaldG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https://recht.nulegal.eu/gesetze/LWaldG/37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