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LWaldG (Brandenburg) — Waldeigentumsarten und Waldbesitzer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Landeswald im Sinne dieses Gesetzes ist Wald, der im Alleineigentum des Landes Brandenburg steht.</w:t>
      </w:r>
    </w:p>
    <w:p>
      <w:r>
        <w:t xml:space="preserve">(2) Körperschaftswald im Sinne dieses Gesetzes ist Wald, der im Alleineigentum der Städte und Gemeinden, der Gemeindeverbände, der Zweckverbände sowie sonstiger Körperschaften, Anstalten oder Stiftungen des öffentlichen Rechts steht.</w:t>
      </w:r>
    </w:p>
    <w:p>
      <w:r>
        <w:t xml:space="preserve">(3) Privatwald im Sinne dieses Gesetzes ist Wald von Religionsgemeinschaften und deren Einrichtungen sowie Wald, der nicht Landeswald oder Körperschaftswald ist.</w:t>
      </w:r>
    </w:p>
    <w:p>
      <w:r>
        <w:t xml:space="preserve">(4) Waldbesitzer im Sinne dieses Gesetzes sind der Waldeigentümer und der Nutzungsberechtigte, sofern dieser unmittelbarer Besitzer des Waldes ist.</w:t>
      </w:r>
    </w:p>
    <w:p>
      <w:r>
        <w:rPr>
          <w:color w:val="555555"/>
          <w:sz w:val="17"/>
        </w:rPr>
        <w:t xml:space="preserve">Zitiervorschlag: § 3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