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LWaldG (Brandenburg) — Forstwirtschaftliche Zusammenschlüsse</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Forstwirtschaftliche Zusammenschlüsse im Sinne dieses Gesetzes sind Zusammenschlüsse nach dem Bundeswaldgesetz.</w:t>
      </w:r>
    </w:p>
    <w:p>
      <w:r>
        <w:t xml:space="preserve">(2) Der Zweck forstwirtschaftlicher Zusammenschlüsse besteht darin, die Bewirtschaftung von Waldflächen und der zur Aufforstung bestimmten Grundstücke zu verbessern, insbesondere die Nachteile geringer Flächengröße, ungünstiger Flächengestalt, der Besitzzersplitterung, der Gemengelage, des unzureichenden Waldaufschlusses oder anderer Strukturmängel zu überwinden.</w:t>
      </w:r>
    </w:p>
    <w:p>
      <w:r>
        <w:t xml:space="preserve">(3) Wegen deren besonderen Bedeutung für die Entwicklung der Forst- und Holzwirtschaft haben die Forstbehörden forstwirtschaftliche Zusammenschlüsse zu fördern.</w:t>
      </w:r>
    </w:p>
    <w:p>
      <w:r>
        <w:rPr>
          <w:color w:val="555555"/>
          <w:sz w:val="17"/>
        </w:rPr>
        <w:t xml:space="preserve">Zitiervorschlag: § 29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