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LWaldG (Brandenburg) — Förderung der Forstwirtschaft</w:t>
      </w:r>
    </w:p>
    <w:p>
      <w:r>
        <w:rPr>
          <w:color w:val="555555"/>
          <w:sz w:val="18"/>
        </w:rPr>
        <w:t xml:space="preserve">Waldgesetz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Forstwirtschaft soll wegen der Bedeutung für die Landeskultur und den Naturschutz und wegen der Nutz-, Schutz- und Erholungsfunktionen des Waldes fachlich und finanziell gefördert werden.</w:t>
      </w:r>
    </w:p>
    <w:p>
      <w:r>
        <w:rPr>
          <w:color w:val="555555"/>
          <w:sz w:val="17"/>
        </w:rPr>
        <w:t xml:space="preserve">Zitiervorschlag: § 25 LWaldG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https://recht.nulegal.eu/gesetze/LWaldG/25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