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21 LWaldG (Brandenburg) — Zuschuss bei Waldbrandschäden</w:t>
      </w:r>
    </w:p>
    <w:p>
      <w:r>
        <w:rPr>
          <w:color w:val="555555"/>
          <w:sz w:val="18"/>
        </w:rPr>
        <w:t xml:space="preserve">Waldgesetz des Landes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Bei Waldbrandschäden in Körperschafts- und Privatwald erhält der Waldbesitzer auf Antrag nach Maßgabe des Haushaltes 80 vom Hundert der entstehenden Wiederbewaldungskosten als Zuschuss durch das Land, soweit vom Schädiger kein Ersatz zu erlangen ist.</w:t>
      </w:r>
    </w:p>
    <w:p>
      <w:r>
        <w:t xml:space="preserve">(2) Der Zuschuss vermindert sich um Leistungen Dritter.</w:t>
      </w:r>
    </w:p>
    <w:p>
      <w:r>
        <w:t xml:space="preserve">(3) Der Zuschuss wird versagt, wenn der Waldbesitzer seinen Pflichten nach § 20 trotz Aufforderung durch die untere Forstbehörde nicht oder nur unzureichend nachgekommen ist.</w:t>
      </w:r>
    </w:p>
    <w:p>
      <w:r>
        <w:rPr>
          <w:color w:val="555555"/>
          <w:sz w:val="17"/>
        </w:rPr>
        <w:t xml:space="preserve">Zitiervorschlag: § 21 LWaldG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https://recht.nulegal.eu/gesetze/LWaldG/21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