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LWaldG (Brandenburg) — Haftung</w:t>
      </w:r>
    </w:p>
    <w:p>
      <w:r>
        <w:rPr>
          <w:color w:val="555555"/>
          <w:sz w:val="18"/>
        </w:rPr>
        <w:t xml:space="preserve">Waldgesetz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Wer von den Benutzungsrechten nach diesem Gesetz Gebrauch macht, handelt auf eigene Gefahr. Die Waldbesitzer haften insbesondere nicht für</w:t>
      </w:r>
    </w:p>
    <w:p>
      <w:r>
        <w:t xml:space="preserve">natur- oder waldtypische Gefahren durch Bäume,</w:t>
      </w:r>
    </w:p>
    <w:p>
      <w:r>
        <w:t xml:space="preserve">natur- oder waldtypische Gefahren durch den Zustand von Wegen,</w:t>
      </w:r>
    </w:p>
    <w:p>
      <w:r>
        <w:t xml:space="preserve">aus der Bewirtschaftung der Flächen entstehende typische Gefahren,</w:t>
      </w:r>
    </w:p>
    <w:p>
      <w:r>
        <w:t xml:space="preserve">Gefahren, die dadurch entstehen, dass</w:t>
      </w:r>
    </w:p>
    <w:p>
      <w:r>
        <w:t xml:space="preserve">Wald in der Zeit von eineinhalb Stunden nach Sonnenuntergang bis eineinhalb Stunden vor Sonnenaufgang (Nachtzeit) betreten wird,</w:t>
      </w:r>
    </w:p>
    <w:p>
      <w:r>
        <w:t xml:space="preserve">bei der Ausübung von Betretensrechten sonstige schlechte Sichtverhältnisse nicht berücksichtigt werden, sowie für</w:t>
      </w:r>
    </w:p>
    <w:p>
      <w:r>
        <w:t xml:space="preserve">Gefahren außerhalb von Wegen, die</w:t>
      </w:r>
    </w:p>
    <w:p>
      <w:r>
        <w:t xml:space="preserve">natur- oder waldtypisch sind oder</w:t>
      </w:r>
    </w:p>
    <w:p>
      <w:r>
        <w:t xml:space="preserve">durch Eingriffe in den Wald oder durch den Zustand von Anlagen entstehen, insbesondere durch Bodenerkundungsschächte, Gruben und Rohrdurchlässe.</w:t>
      </w:r>
    </w:p>
    <w:p>
      <w:r>
        <w:t xml:space="preserve">Die Haftung der Waldbesitzer ist nicht nach Satz 2 Nr. 3, 4 oder 5 Buchstabe b ausgeschlossen, wenn die Schädigung von Personen, die den Wald betreten, von den Waldbesitzern vorsätzlich oder grob fahrlässig herbeigeführt wird.</w:t>
      </w:r>
    </w:p>
    <w:p>
      <w:r>
        <w:rPr>
          <w:color w:val="555555"/>
          <w:sz w:val="17"/>
        </w:rPr>
        <w:t xml:space="preserve">Zitiervorschlag: § 14 LWaldG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https://recht.nulegal.eu/gesetze/LWaldG/14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