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LWahlGV (Brandenburg) — Wahl- oder Abstimmungsvorbereitung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Wahl- oder Abstimmungsbehörde obliegt bei elektronischen Stimmenzählgeräten die Eingabe der für die Wahl oder Abstimmung erforderlichen Angaben und Daten sowie die Festlegung der entsprechenden Gerätebeschriftung und -anzeigen. Dabei hat sie die Festlegungen für die amtlichen Stimmzettel zu beachten. Die Wahl- oder Abstimmungsbehörde hat die Richtigkeit der Eingaben auf der Grundlage des von dem Gerät ausgedruckten Prüfbeleges oder der von dem Gerät angezeigten Angaben zu bestätigen.</w:t>
      </w:r>
    </w:p>
    <w:p>
      <w:r>
        <w:t xml:space="preserve">(2) Es dürfen nur Stimmenzählgeräte verwendet werden, die nach Bestimmung des Wahl- oder Abstimmungstages anhand der Bedienungsanleitung und Wartungsvorschriften vom</w:t>
      </w:r>
    </w:p>
    <w:p>
      <w:r>
        <w:t xml:space="preserve">Hersteller oder von der Wahl- oder Abstimmungsbehörde überprüft worden sind und deren Funktionstüchtigkeit festgestellt worden ist. Setzt die ordnungsgemäße Inbetriebnahme eines elektronischen Stimmenzählgerätes den Einsatz externer</w:t>
      </w:r>
    </w:p>
    <w:p>
      <w:r>
        <w:t xml:space="preserve">Datenträger voraus, so hat die Wahl- oder Abstimmungsbehörde für deren ordnungsgemäße Verwendung zu sorgen.</w:t>
      </w:r>
    </w:p>
    <w:p>
      <w:r>
        <w:t xml:space="preserve">(3) Der Kreiswahl- oder Kreisabstimmungsleiter oder sein Beauftragter kann die von der Wahl- oder Abstimmungsbehörde zur Wahl oder Abstimmung vorgesehenen Stimmenzählgeräte und externen Datenträger überprüfen, die Beseitigung von</w:t>
      </w:r>
    </w:p>
    <w:p>
      <w:r>
        <w:t xml:space="preserve">Mängeln anordnen oder einzelne Stimmenzählgeräte für die Verwendung sperren.</w:t>
      </w:r>
    </w:p>
    <w:p>
      <w:r>
        <w:t xml:space="preserve">(4) In Wahl- oder Stimmbezirken, in denen Stimmenzählgeräte verwendet werden, hat die Wahl- oder Abstimmungsbehörde die Mitglieder der Wahl- oder Abstimmungsvorstände vor der Wahl oder Abstimmung mit den Stimmenzählgeräten vertraut zu machen und sie in deren Bedienung einzuweisen.</w:t>
      </w:r>
    </w:p>
    <w:p>
      <w:r>
        <w:rPr>
          <w:color w:val="555555"/>
          <w:sz w:val="17"/>
        </w:rPr>
        <w:t xml:space="preserve">Zitiervorschlag: § 7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