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LWahlGV (Brandenburg) — Wahl- oder Abstimmungsbekanntmachung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Wahlbehörde weist in der Wahlbekanntmachung über § 45 Abs. 1 der Brandenburgischen Landeswahlverordnung hinaus darauf hin, in welchen</w:t>
      </w:r>
    </w:p>
    <w:p>
      <w:r>
        <w:t xml:space="preserve">Wahlbezirken Stimmenzählgeräte verwendet werden. Die Abstimmungsbehörde weist in der Abstimmungsbekanntmachung über § 13 der Volksentscheidsverfahrensverordnung hinaus darauf hin, in welchen Stimmbezirken Stimmenzählgeräte verwendet werden.</w:t>
      </w:r>
    </w:p>
    <w:p>
      <w:r>
        <w:t xml:space="preserve">(2) Dem Abdruck der Wahl- oder Abstimmungsbekanntmachung ist neben dem Stimmzettel eine</w:t>
      </w:r>
    </w:p>
    <w:p>
      <w:r>
        <w:t xml:space="preserve">Abbildung der für die Stimmabgabe vorgesehenen Seite des Stimmenzählgerätes einschließlich gerätespezifischer Darstellung des Stimmzettels beizufügen.</w:t>
      </w:r>
    </w:p>
    <w:p>
      <w:r>
        <w:rPr>
          <w:color w:val="555555"/>
          <w:sz w:val="17"/>
        </w:rPr>
        <w:t xml:space="preserve">Zitiervorschlag: § 6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https://recht.nulegal.eu/gesetze/LWahlGV/6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