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LWahlGV (Brandenburg) — Genehmigung der Verwendung von Stimmenzählgeräten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Verwendung zugelassener Stimmenzählgeräte bedarf vor jeder Landtagswahl und vor jedem Volksentscheid der Genehmigung des Präsidiums des Landtages. Die Genehmigung kann einzelnen Wahl- oder Abstimmungsbehörden oder allgemein erteilt werden. Sie gilt auch für Nachwahlen, Wiederholungswahlen, Ersatzwahlen,</w:t>
      </w:r>
    </w:p>
    <w:p>
      <w:r>
        <w:t xml:space="preserve">Nachabstimmungen und Wiederholungsabstimmungen. Sie kann unter Bedingungen erteilt und mit Auflagen verbunden werden.</w:t>
      </w:r>
    </w:p>
    <w:p>
      <w:r>
        <w:t xml:space="preserve">(2) Wird die Genehmigung allgemein erteilt, ist sie vom Präsidenten des Landtages im Amtsblatt für Brandenburg zu veröffentlichen.</w:t>
      </w:r>
    </w:p>
    <w:p>
      <w:r>
        <w:rPr>
          <w:color w:val="555555"/>
          <w:sz w:val="17"/>
        </w:rPr>
        <w:t xml:space="preserve">Zitiervorschlag: § 4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