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LWahlGV (Brandenburg) — Rücknahme, Erlöschen und Widerruf der Bauartzulassung</w:t>
      </w:r>
    </w:p>
    <w:p>
      <w:r>
        <w:rPr>
          <w:color w:val="555555"/>
          <w:sz w:val="18"/>
        </w:rPr>
        <w:t xml:space="preserve">Landeswahlgeräteverordnung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Ministerium des Innern kann die Bauartzulassung zurücknehmen, wenn die Voraussetzungen für ihre Erteilung nicht vorgelegen haben.</w:t>
      </w:r>
    </w:p>
    <w:p>
      <w:r>
        <w:t xml:space="preserve">(2) Die Bauartzulassung erlischt für Stimmenzählgeräte, deren Bauartzulassung für Bundeswahlen zurückgenommen, widerrufen worden oder auf andere Weise ausgelaufen ist.</w:t>
      </w:r>
    </w:p>
    <w:p>
      <w:r>
        <w:t xml:space="preserve">(3) Das Ministerium des Innern kann die Bauartzulassung widerrufen, wenn die Stimmenzählgerätebauart den Rechtsvorschriften für Landtagswahlen oder Volksentscheide nicht mehr entspricht. Der Widerruf kann auch ausgesprochen</w:t>
      </w:r>
    </w:p>
    <w:p>
      <w:r>
        <w:t xml:space="preserve">werden, wenn sich nachträglich herausstellt, dass die Stimmenzählgerätebauart den Erfordernissen der Durchführung von Landtagswahlen oder Volksentscheiden nicht entspricht.</w:t>
      </w:r>
    </w:p>
    <w:p>
      <w:r>
        <w:t xml:space="preserve">(4) Für die Rücknahme, das Erlöschen und den Widerruf einer Bauartzulassung gilt § 2 Abs. 5 entsprechend.</w:t>
      </w:r>
    </w:p>
    <w:p>
      <w:r>
        <w:rPr>
          <w:color w:val="555555"/>
          <w:sz w:val="17"/>
        </w:rPr>
        <w:t xml:space="preserve">Zitiervorschlag: § 3 LWahlGV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https://recht.nulegal.eu/gesetze/LWahlGV/3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