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 LWahlGV (Brandenburg) — In-Kraft-Treten</w:t>
      </w:r>
    </w:p>
    <w:p>
      <w:r>
        <w:rPr>
          <w:color w:val="555555"/>
          <w:sz w:val="18"/>
        </w:rPr>
        <w:t xml:space="preserve">Landeswahlgeräteverordnung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14. Mai 2004</w:t>
      </w:r>
    </w:p>
    <w:p>
      <w:r>
        <w:t xml:space="preserve">Der Minister des Innern</w:t>
      </w:r>
    </w:p>
    <w:p>
      <w:r>
        <w:t xml:space="preserve">Jörg Schönbohm</w:t>
      </w:r>
    </w:p>
    <w:p>
      <w:r>
        <w:rPr>
          <w:color w:val="555555"/>
          <w:sz w:val="17"/>
        </w:rPr>
        <w:t xml:space="preserve">Zitiervorschlag: § 20 LWahlGV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https://recht.nulegal.eu/gesetze/LWahlGV/20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