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LWahlGV (Brandenburg) — Mustervordrucke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für die Wahl oder Abstimmung mit Stimmenzählgeräten gesonderte Vordrucke zu verwenden</w:t>
      </w:r>
    </w:p>
    <w:p>
      <w:r>
        <w:t xml:space="preserve">sind, werden diese als Mustervordrucke durch Verwaltungsvorschrift des Ministeriums des Innern im Amtsblatt für Brandenburg bekannt gemacht.</w:t>
      </w:r>
    </w:p>
    <w:p>
      <w:r>
        <w:rPr>
          <w:color w:val="555555"/>
          <w:sz w:val="17"/>
        </w:rPr>
        <w:t xml:space="preserve">Zitiervorschlag: § 19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https://recht.nulegal.eu/gesetze/LWahlGV/19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