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LWahlGV (Brandenburg) — Schluss der Wahl- oder Abstimmungshandlung</w:t>
      </w:r>
    </w:p>
    <w:p>
      <w:r>
        <w:rPr>
          <w:color w:val="555555"/>
          <w:sz w:val="18"/>
        </w:rPr>
        <w:t xml:space="preserve">Landeswahlgeräteverordnung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Wahl- oder Abstimmungsvorsteher hat nach Schließung der Wahl- oder Abstimmungshandlung das</w:t>
      </w:r>
    </w:p>
    <w:p>
      <w:r>
        <w:t xml:space="preserve">Stimmenzählgerät oder die Stimmenspeicher gegen jede weitere Stimmabgabe zu sperren und die Sperrung, sofern diese rückgängig gemacht werden kann, zu versiegeln.</w:t>
      </w:r>
    </w:p>
    <w:p>
      <w:r>
        <w:rPr>
          <w:color w:val="555555"/>
          <w:sz w:val="17"/>
        </w:rPr>
        <w:t xml:space="preserve">Zitiervorschlag: § 12 LWahlGV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https://recht.nulegal.eu/gesetze/LWahlGV/12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