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LWahlGV (Brandenburg) — Eröffnung der Wahl- oder Abstimmungshandlung</w:t>
      </w:r>
    </w:p>
    <w:p>
      <w:r>
        <w:rPr>
          <w:color w:val="555555"/>
          <w:sz w:val="18"/>
        </w:rPr>
        <w:t xml:space="preserve">Landeswahlgeräteverordnung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Der Wahl- oder Abstimmungsvorstand stellt vor Beginn der Stimmabgabe fest, dass</w:t>
      </w:r>
    </w:p>
    <w:p>
      <w:r>
        <w:t xml:space="preserve">der Inhalt der gerätespezifischen Darstellung des Stimmzettels mit dem amtlichen Stimmzettel übereinstimmt,</w:t>
      </w:r>
    </w:p>
    <w:p>
      <w:r>
        <w:t xml:space="preserve">eine Abbildung der für die Stimmabgabe vorgesehenen Seite des Stimmenzählgerätes einschließlich gerätespezifischer Darstellung des Stimmzettels und eine Anleitung zur Stimmabgabe mit dem Stimmenzählgerät im Wahl- oder Abstimmungslokal ausgehängt sind,</w:t>
      </w:r>
    </w:p>
    <w:p>
      <w:r>
        <w:t xml:space="preserve">sämtliche Zähl- und Speichervorrichtungen für die Stimmabgabe auf Null stehen oder gelöscht sind,</w:t>
      </w:r>
    </w:p>
    <w:p>
      <w:r>
        <w:t xml:space="preserve">nicht benötigte Zähl- und Speichervorrichtungen für die Stimmabgabe gesperrt sind und</w:t>
      </w:r>
    </w:p>
    <w:p>
      <w:r>
        <w:t xml:space="preserve">die zur Aufnahme von Wahl- oder Abstimmungsmarken bestimmten Behälter leer sind, soweit bei der Benutzung des Gerätes entsprechende Marken verwendet werden.</w:t>
      </w:r>
    </w:p>
    <w:p>
      <w:r>
        <w:t xml:space="preserve">Werden elektronische Stimmenzählgeräte verwendet, stellt der Wahl- oder Abstimmungsvorstand ferner fest, dass die Identifikationsangaben (Wahlgeräte-ID, Speicher-ID, Hardware - und Software -Version, Checksummen) in der</w:t>
      </w:r>
    </w:p>
    <w:p>
      <w:r>
        <w:t xml:space="preserve">Baugleichheitserklärung (§ 2 Abs. 4) und in dem von dem Gerät ausgedruckten Prüfbeleg oder in den Anzeigen des Gerätes übereinstimmen.</w:t>
      </w:r>
    </w:p>
    <w:p>
      <w:r>
        <w:t xml:space="preserve">(2) Der Wahl- oder Abstimmungsvorsteher verschließt das Stimmenzählgerät oder dessen Zähl- und Speichervorrichtungen, sofern ihm das Stimmenzählgerät nicht bereits in versiegeltem Zustand übergeben worden ist. Ein Verwenden der Schlüssel ist bis zum Schluss der Wahl- oder Abstimmungshandlung nicht gestattet, außer wenn das</w:t>
      </w:r>
    </w:p>
    <w:p>
      <w:r>
        <w:t xml:space="preserve">Stimmenzählgerät zum Zwecke der Fortsetzung der Wahl oder Abstimmung ohne Gefahr des Bekanntwerdens oder Löschens der bereits abgegebenen Stimmen gemäß Bedienungsanleitung in einen Grundzustand gebracht werden muss. Dies gilt auch</w:t>
      </w:r>
    </w:p>
    <w:p>
      <w:r>
        <w:t xml:space="preserve">für die zur Aufnahme von Wahl- oder Abstimmungsmarken bestimmten Behälter. Die Schlüssel für das Stimmenzählgerät oder dessen Zähl- und Speichervorrichtungen sind bis zur Beendigung der Wahl- oder Abstimmungshandlung getrennt von dem Wahl- oder Abstimmungsvorsteher und einem weiteren Mitglied des Wahl- oder Abstimmungsvorstands aufzubewahren.</w:t>
      </w:r>
    </w:p>
    <w:p>
      <w:r>
        <w:rPr>
          <w:color w:val="555555"/>
          <w:sz w:val="17"/>
        </w:rPr>
        <w:t xml:space="preserve">Zitiervorschlag: § 10 LWahlGV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https://recht.nulegal.eu/gesetze/LWahlGV/10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