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LWahlGV (Brandenburg) — Zulassungs- und Genehmigungspflicht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Mechanisch oder elektronisch betriebene Geräte, die bei Wahlen oder Abstimmungen der Abgabe und Zählung der abgegebenen Stimmen dienen (Stimmenzählgeräte), dürfen bei</w:t>
      </w:r>
    </w:p>
    <w:p>
      <w:r>
        <w:t xml:space="preserve">Landtagswahlen oder Volksentscheiden nur eingesetzt werden, wenn ihre Bauart nach § 2 zugelassen und ihre Verwendung nach § 4 genehmigt ist.</w:t>
      </w:r>
    </w:p>
    <w:p>
      <w:r>
        <w:rPr>
          <w:color w:val="555555"/>
          <w:sz w:val="17"/>
        </w:rPr>
        <w:t xml:space="preserve">Zitiervorschlag: § 1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