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LWPG (Nordrhein-Westfalen) — Anerkennung bestehender Wärmepläne</w:t>
      </w:r>
    </w:p>
    <w:p>
      <w:r>
        <w:rPr>
          <w:color w:val="555555"/>
          <w:sz w:val="18"/>
        </w:rPr>
        <w:t xml:space="preserve">Landeswärmeplanungsgesetz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Pflicht zur Erstaufstellung eines Wärmeplans nach § 2 Absatz 2 gilt als erfüllt, soweit die Voraussetzungen des § 5 Absatz 2 des Wärmeplanungsgesetzes erfüllt sind. Davon unberührt bleiben die übrigen Vorgaben dieses Gesetzes.</w:t>
      </w:r>
    </w:p>
    <w:p>
      <w:r>
        <w:t xml:space="preserve">(2) Gemeinden haben Wärmepläne nach Absatz 1 nach den Vorgaben des § 6 Absatz 2</w:t>
      </w:r>
    </w:p>
    <w:p>
      <w:r>
        <w:t xml:space="preserve">Satz 3 elektronisch an das LANUV zu übermitteln. Hierbei hat die Gemeinde zu erklären, ob dieser Wärmeplan mit den Anforderungen des Wärmeplanungsgesetzes im Wesentlichen vergleichbar ist.</w:t>
      </w:r>
    </w:p>
    <w:p>
      <w:r>
        <w:rPr>
          <w:color w:val="555555"/>
          <w:sz w:val="17"/>
        </w:rPr>
        <w:t xml:space="preserve">Zitiervorschlag: § 3 LWPG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https://recht.nulegal.eu/gesetze/LWPG/3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