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9 LWO (Bayern) — (zu § 31 Abs. 4 Nr. 3)</w:t>
      </w:r>
    </w:p>
    <w:p>
      <w:r>
        <w:rPr>
          <w:color w:val="555555"/>
          <w:sz w:val="18"/>
        </w:rPr>
        <w:t xml:space="preserve">Landeswahlordnung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Versicherung an Eides statt zur Aufstellung des Stimmkreisbewerbers/der Stimmkreisbewerberin</w:t>
      </w:r>
    </w:p>
    <w:p>
      <w:r>
        <w:rPr>
          <w:color w:val="555555"/>
          <w:sz w:val="17"/>
        </w:rPr>
        <w:t xml:space="preserve">Zitiervorschlag: Anlage 9 LWO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https://recht.nulegal.eu/gesetze/LWO/anlage-9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