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LWO (Bayern) — (zu § 21 Abs. 1)</w:t>
      </w:r>
    </w:p>
    <w:p>
      <w:r>
        <w:rPr>
          <w:color w:val="555555"/>
          <w:sz w:val="18"/>
        </w:rPr>
        <w:t xml:space="preserve">Landeswahlordnung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Beurkundung des Abschlusses des Wählerverzeichnisses</w:t>
      </w:r>
    </w:p>
    <w:p>
      <w:r>
        <w:rPr>
          <w:color w:val="555555"/>
          <w:sz w:val="17"/>
        </w:rPr>
        <w:t xml:space="preserve">Zitiervorschlag: Anlage 2 LWO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https://recht.nulegal.eu/gesetze/LWO/anlage-2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