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LWO (Bayern) — (zu § 17)</w:t>
      </w:r>
    </w:p>
    <w:p>
      <w:r>
        <w:rPr>
          <w:color w:val="555555"/>
          <w:sz w:val="18"/>
        </w:rPr>
        <w:t xml:space="preserve">Landeswahlordnung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Bekanntmachung über das Recht auf Einsicht in das Wählerverzeichnis und die Erteilung von Wahlscheinen für die Wahl zum Landtag und zum Bezirkstag</w:t>
      </w:r>
    </w:p>
    <w:p>
      <w:r>
        <w:rPr>
          <w:color w:val="555555"/>
          <w:sz w:val="17"/>
        </w:rPr>
        <w:t xml:space="preserve">Zitiervorschlag: Anlage 1 LWO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https://recht.nulegal.eu/gesetze/LWO/anlage-1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