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LWO (Bayern) — Auslagenersatz und Erfrischungsgeld</w:t>
      </w:r>
    </w:p>
    <w:p>
      <w:r>
        <w:rPr>
          <w:color w:val="555555"/>
          <w:sz w:val="18"/>
        </w:rPr>
        <w:t xml:space="preserve">Landeswahlordnung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Beisitzer der Wahlausschüsse und Mitglieder der Wahlvorstände erhalten, wenn sie außerhalb ihres Stimmbezirks tätig werden, Ersatz ihrer notwendigen Fahrkosten in entsprechender Anwendung der Art. 5 und 6 Abs. 1 des Bayerischen Reisekostengesetzes; wenn sie außerhalb ihres Wohnorts tätig werden, erhalten sie außerdem Tage- und Übernachtungsgelder nach dem Bayerischen Reisekostengesetz.</w:t>
      </w:r>
    </w:p>
    <w:p>
      <w:r>
        <w:t xml:space="preserve">(2) Ein Erfrischungsgeld, das auf ein Tagegeld nach Abs. 1 anzurechnen ist, kann gewährt werden den Mitgliedern der Wahlausschüsse für die Teilnahme an einer nach § 4 einberufenen Sitzung und den Mitgliedern der Wahlvorstände für den Tag der Abstimmung.</w:t>
      </w:r>
    </w:p>
    <w:p>
      <w:r>
        <w:rPr>
          <w:color w:val="555555"/>
          <w:sz w:val="17"/>
        </w:rPr>
        <w:t xml:space="preserve">Zitiervorschlag: § 9 LWO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