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LWO (Bayern) — Ermittlung und Feststellung des Ergebnisses des Volksentscheids durch den Landeswahlausschuss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Landeswahlleiter prüft die Niederschriften der Abstimmungsausschüsse und stellt das endgültige Abstimmungsergebnis zusammen.</w:t>
      </w:r>
    </w:p>
    <w:p>
      <w:r>
        <w:t xml:space="preserve">(2) Der Landeswahlausschuss stellt für das gesamte Staatsgebiet die Zahlen nach § 69 Abs. 6 und das Ergebnis des Volksentscheids nach Art. 79, Art. 86 oder Art. 88 Abs. 3 LWG fest. Der Landeswahlausschuss ist berechtigt, die Feststellungen der Wahlvorstände und der Abstimmungsausschüsse rechnerisch zu berichtigen.</w:t>
      </w:r>
    </w:p>
    <w:p>
      <w:r>
        <w:t xml:space="preserve">(3) Im Anschluss an die Feststellungen macht der Landeswahlleiter das Abstimmungsergebnis mit den in Abs. 2 Satz 1 genannten Angaben bekannt.</w:t>
      </w:r>
    </w:p>
    <w:p>
      <w:r>
        <w:rPr>
          <w:color w:val="555555"/>
          <w:sz w:val="17"/>
        </w:rPr>
        <w:t xml:space="preserve">Zitiervorschlag: § 71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