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LWO (Bayern) — Zweite Schnellmeldung bei der Landtagswahl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stellt die Wahlergebnisse auf Grund der Wahlniederschriften zusammen, ermittelt das Gemeindeergebnis und teilt es wie die Erste Schnellmeldung unmittelbar nach Abschluss dieser Feststellung dem Stimmkreisleiter mit.</w:t>
      </w:r>
    </w:p>
    <w:p>
      <w:r>
        <w:t xml:space="preserve">(2) Der Stimmkreisleiter stellt die Gemeindeergebnisse zum Stimmkreisergebnis zusammen und teilt dieses dem Landeswahlleiter sofort mit.</w:t>
      </w:r>
    </w:p>
    <w:p>
      <w:r>
        <w:t xml:space="preserve">(3) Der Landeswahlleiter stellt nach Eingang der Mitteilungen über die Stimmkreisergebnisse das Gesamtwahlergebnis vorläufig fest. Er kann Anordnungen zur Art und Weise der Übermittlung treffen.</w:t>
      </w:r>
    </w:p>
    <w:p>
      <w:r>
        <w:rPr>
          <w:color w:val="555555"/>
          <w:sz w:val="17"/>
        </w:rPr>
        <w:t xml:space="preserve">Zitiervorschlag: § 65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