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LWO (Bayern) — Briefwahlvorsteher und Briefwahlvorstand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Briefwahlvorsteher und Briefwahlvorstände gilt § 5 entsprechend; der Briefwahlvorstand ist beschlussfähig</w:t>
      </w:r>
    </w:p>
    <w:p>
      <w:r>
        <w:t xml:space="preserve">1. bei der Zulassung oder Zurückweisung der Wahlbriefe, wenn mindestens drei Mitglieder,</w:t>
      </w:r>
    </w:p>
    <w:p>
      <w:r>
        <w:t xml:space="preserve">2. bei der Ermittlung und Feststellung des Briefwahlergebnisses, wenn mindestens fünf Mitglieder,</w:t>
      </w:r>
    </w:p>
    <w:p>
      <w:r>
        <w:t xml:space="preserve">darunter jeweils der Wahlvorsteher und der Schriftführer oder ihre Stellvertreter, anwesend sind.</w:t>
      </w:r>
    </w:p>
    <w:p>
      <w:r>
        <w:t xml:space="preserve">(2) Die Zahl der auf einen Briefwahlvorstand entfallenden Wahlbriefe darf nicht so gering sein, dass erkennbar wird, wie einzelne Stimmberechtigte abgestimmt haben; auf einen Briefwahlvorstand sollen mindestens 50 Wahlbriefe entfallen.</w:t>
      </w:r>
    </w:p>
    <w:p>
      <w:r>
        <w:rPr>
          <w:color w:val="555555"/>
          <w:sz w:val="17"/>
        </w:rPr>
        <w:t xml:space="preserve">Zitiervorschlag: § 6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