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LWO (Bayern) — Stimmabgabe in kleineren Krankenhäusern, kleineren Alten- oder Pflegeheimen und Klöstern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soll bei entsprechendem Bedürfnis und soweit möglich im Benehmen mit der Leitung eines kleineren Krankenhauses, eines kleineren Alten- oder Pflegeheims oder eines Klosters zulassen, dass dort anwesende Stimmberechtigte, die einen gültigen Wahlschein haben, vor einem beweglichen Wahlvorstand abstimmen.</w:t>
      </w:r>
    </w:p>
    <w:p>
      <w:r>
        <w:t xml:space="preserve">(2) Die Gemeinde vereinbart mit der Leitung der Einrichtung die Zeit der Stimmabgabe innerhalb der allgemeinen Abstimmungszeit. Die Leitung der Einrichtung stellt, soweit erforderlich, einen geeigneten Abstimmungsraum bereit. Die Gemeinde richtet ihn her. Die Leitung der Einrichtung gibt den Stimmberechtigten Ort und Zeit der Stimmabgabe bekannt.</w:t>
      </w:r>
    </w:p>
    <w:p>
      <w:r>
        <w:t xml:space="preserve">(3) Der bewegliche Wahlvorstand begibt sich mit einer verschlossenen Wahlurne und mit Stimmzetteln in die Einrichtung; § 50 Abs. 6 und 7 gelten entsprechend.</w:t>
      </w:r>
    </w:p>
    <w:p>
      <w:r>
        <w:rPr>
          <w:color w:val="555555"/>
          <w:sz w:val="17"/>
        </w:rPr>
        <w:t xml:space="preserve">Zitiervorschlag: § 51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