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LWO (Bayern) — Einsicht in das Wählerverzeichnis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hält das Wählerverzeichnis mindestens am Ort der Gemeindeverwaltung während der allgemeinen Dienststunden zur Einsicht bereit. Wird das Wählerverzeichnis im automatisierten Verfahren geführt, kann die Einsicht durch ein Datensichtgerät ermöglicht werden. Es ist sicherzustellen, dass Bemerkungen (§ 20 Abs. 3) im Klartext gelesen werden können. Das Datensichtgerät darf nur von Gemeindebediensteten bedient werden.</w:t>
      </w:r>
    </w:p>
    <w:p>
      <w:r>
        <w:t xml:space="preserve">(2) Innerhalb der Einsichtsfrist dürfen Stimmberechtigte im Zusammenhang mit der Prüfung des Stimmrechts einzelner bestimmter Personen Auszüge aus dem Wählerverzeichnis fertigen. Die Auszüge dürfen nur zur Prüfung des Stimmrechts verwendet und unbeteiligten Dritten nicht zugänglich gemacht werden.</w:t>
      </w:r>
    </w:p>
    <w:p>
      <w:r>
        <w:rPr>
          <w:color w:val="555555"/>
          <w:sz w:val="17"/>
        </w:rPr>
        <w:t xml:space="preserve">Zitiervorschlag: § 18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