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LWO (Bayern) — Bekanntmachung über das Recht auf Einsicht in das Wählerverzeichnis und die Erteilung von Wahlscheinen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 macht spätestens am 24. Tag vor der Abstimmung nach dem Muster der Anlage 1 bekannt,</w:t>
      </w:r>
    </w:p>
    <w:p>
      <w:r>
        <w:t xml:space="preserve">1. von wem, zu welchen Zwecken und unter welchen Voraussetzungen, wo, wie lange und zu welchen Tagesstunden das Wählerverzeichnis eingesehen werden kann und ob der Ort der Einsichtnahme barrierefrei ist,</w:t>
      </w:r>
    </w:p>
    <w:p>
      <w:r>
        <w:t xml:space="preserve">2. dass bei der Gemeinde innerhalb der Einsichtsfrist schriftlich oder durch Erklärung zur Niederschrift Einspruch gegen das Wählerverzeichnis eingelegt werden kann,</w:t>
      </w:r>
    </w:p>
    <w:p>
      <w:r>
        <w:t xml:space="preserve">3. dass Stimmberechtigten, die in das Wählerverzeichnis eingetragen sind, spätestens am 21. Tag vor der Abstimmung eine Wahlbenachrichtigung zugeht,</w:t>
      </w:r>
    </w:p>
    <w:p>
      <w:r>
        <w:t xml:space="preserve">4. wo, in welcher Zeit und unter welchen Voraussetzungen Wahlscheine beantragt werden können,</w:t>
      </w:r>
    </w:p>
    <w:p>
      <w:r>
        <w:t xml:space="preserve">5. wie durch Briefwahl abgestimmt wird.</w:t>
      </w:r>
    </w:p>
    <w:p>
      <w:r>
        <w:rPr>
          <w:color w:val="555555"/>
          <w:sz w:val="17"/>
        </w:rPr>
        <w:t xml:space="preserve">Zitiervorschlag: § 17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