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LWO (Bayern) — Zuständigkeiten für die Eintragung in das Wählerverzeichnis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die Eintragung in das Wählerverzeichnis ist in den Fällen des</w:t>
      </w:r>
    </w:p>
    <w:p>
      <w:r>
        <w:t xml:space="preserve">1. § 13 Abs. 1 die für die Wohnung, bei mehreren Wohnungen die für die Hauptwohnung zuständige Gemeinde,</w:t>
      </w:r>
    </w:p>
    <w:p>
      <w:r>
        <w:t xml:space="preserve">2. § 13 Abs. 2 Nr. 1 die Gemeinde, in der die stimmberechtigte Person ihren Antrag stellt,</w:t>
      </w:r>
    </w:p>
    <w:p>
      <w:r>
        <w:t xml:space="preserve">3. § 13 Abs. 2 Nr. 2 eine benachbarte bayerische Gemeinde,</w:t>
      </w:r>
    </w:p>
    <w:p>
      <w:r>
        <w:t xml:space="preserve">4. § 13 Abs. 2 Nr. 3 die für die Justizvollzugsanstalt oder entsprechende Einrichtung zuständige Gemeinde.</w:t>
      </w:r>
    </w:p>
    <w:p>
      <w:r>
        <w:rPr>
          <w:color w:val="555555"/>
          <w:sz w:val="17"/>
        </w:rPr>
        <w:t xml:space="preserve">Zitiervorschlag: § 14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