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LWLogAusbV — Staatliche Anerkennung der Ausbildungsberufe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Ausbildungsberufe</w:t>
      </w:r>
    </w:p>
    <w:p>
      <w:pPr>
        <w:ind w:left="420"/>
      </w:pPr>
      <w:r>
        <w:t xml:space="preserve">1. Fachlagerist/Fachlageristin,</w:t>
      </w:r>
    </w:p>
    <w:p>
      <w:pPr>
        <w:ind w:left="420"/>
      </w:pPr>
      <w:r>
        <w:t xml:space="preserve">2. Fachkraft für Lagerlogistik</w:t>
      </w:r>
    </w:p>
    <w:p>
      <w:r>
        <w:t xml:space="preserve">werden staatlich anerkannt.</w:t>
      </w:r>
    </w:p>
    <w:p>
      <w:r>
        <w:rPr>
          <w:color w:val="555555"/>
          <w:sz w:val="17"/>
        </w:rPr>
        <w:t xml:space="preserve">Zitiervorschlag: § 1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